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254B" w14:textId="77777777" w:rsidR="00F208FD" w:rsidRDefault="00F208FD" w:rsidP="00CA1B30">
      <w:pPr>
        <w:jc w:val="right"/>
      </w:pPr>
    </w:p>
    <w:p w14:paraId="341B6BBE" w14:textId="77777777" w:rsidR="00F208FD" w:rsidRDefault="00F208FD" w:rsidP="00EA34A9">
      <w:pPr>
        <w:spacing w:line="276" w:lineRule="auto"/>
        <w:jc w:val="both"/>
      </w:pPr>
    </w:p>
    <w:p w14:paraId="27AAEBE7" w14:textId="77777777" w:rsidR="00F208FD" w:rsidRDefault="00F208FD" w:rsidP="00EA34A9">
      <w:pPr>
        <w:spacing w:after="0" w:line="276" w:lineRule="auto"/>
        <w:jc w:val="both"/>
      </w:pPr>
      <w:r>
        <w:t xml:space="preserve">State Tourism Agency of the Republic of Azerbaijan  </w:t>
      </w:r>
    </w:p>
    <w:p w14:paraId="6328CA18" w14:textId="77777777" w:rsidR="00F208FD" w:rsidRDefault="00F208FD" w:rsidP="00EA34A9">
      <w:pPr>
        <w:spacing w:after="0" w:line="276" w:lineRule="auto"/>
        <w:jc w:val="both"/>
      </w:pPr>
      <w:r>
        <w:t xml:space="preserve">"Reserves Management Centre" Public Legal Entity  </w:t>
      </w:r>
    </w:p>
    <w:p w14:paraId="0C2583B9" w14:textId="77777777" w:rsidR="00F208FD" w:rsidRDefault="00F208FD" w:rsidP="00EA34A9">
      <w:pPr>
        <w:spacing w:line="276" w:lineRule="auto"/>
        <w:jc w:val="both"/>
      </w:pPr>
      <w:r>
        <w:t>No. 3</w:t>
      </w:r>
      <w:r>
        <w:rPr>
          <w:rFonts w:ascii="Cambria Math" w:hAnsi="Cambria Math" w:cs="Cambria Math"/>
        </w:rPr>
        <w:t>‑</w:t>
      </w:r>
      <w:r>
        <w:t>46</w:t>
      </w:r>
      <w:r>
        <w:rPr>
          <w:rFonts w:ascii="Cambria Math" w:hAnsi="Cambria Math" w:cs="Cambria Math"/>
        </w:rPr>
        <w:t>‑</w:t>
      </w:r>
      <w:r>
        <w:t>212</w:t>
      </w:r>
      <w:r>
        <w:rPr>
          <w:rFonts w:ascii="Cambria Math" w:hAnsi="Cambria Math" w:cs="Cambria Math"/>
        </w:rPr>
        <w:t>‑</w:t>
      </w:r>
      <w:r>
        <w:t xml:space="preserve">143/2014  </w:t>
      </w:r>
    </w:p>
    <w:p w14:paraId="7364C716" w14:textId="77777777" w:rsidR="00F208FD" w:rsidRDefault="00F208FD" w:rsidP="00EA34A9">
      <w:pPr>
        <w:spacing w:line="276" w:lineRule="auto"/>
        <w:jc w:val="both"/>
      </w:pPr>
    </w:p>
    <w:p w14:paraId="7C368150" w14:textId="77777777" w:rsidR="00F208FD" w:rsidRPr="00F208FD" w:rsidRDefault="00F208FD" w:rsidP="00EA34A9">
      <w:pPr>
        <w:spacing w:line="276" w:lineRule="auto"/>
        <w:jc w:val="both"/>
        <w:rPr>
          <w:i/>
          <w:iCs/>
        </w:rPr>
      </w:pPr>
      <w:proofErr w:type="spellStart"/>
      <w:r w:rsidRPr="00F208FD">
        <w:rPr>
          <w:i/>
          <w:iCs/>
        </w:rPr>
        <w:t>Basgal</w:t>
      </w:r>
      <w:proofErr w:type="spellEnd"/>
      <w:r w:rsidRPr="00F208FD">
        <w:rPr>
          <w:i/>
          <w:iCs/>
        </w:rPr>
        <w:t xml:space="preserve"> State Historical and Cultural Reserve  </w:t>
      </w:r>
    </w:p>
    <w:p w14:paraId="520BD0AC" w14:textId="77777777" w:rsidR="00F208FD" w:rsidRPr="00F208FD" w:rsidRDefault="00F208FD" w:rsidP="00EA34A9">
      <w:pPr>
        <w:spacing w:line="276" w:lineRule="auto"/>
        <w:jc w:val="both"/>
        <w:rPr>
          <w:b/>
          <w:bCs/>
          <w:sz w:val="32"/>
          <w:szCs w:val="32"/>
        </w:rPr>
      </w:pPr>
      <w:r w:rsidRPr="00F208FD">
        <w:rPr>
          <w:b/>
          <w:bCs/>
          <w:sz w:val="32"/>
          <w:szCs w:val="32"/>
        </w:rPr>
        <w:t>Single</w:t>
      </w:r>
      <w:r w:rsidRPr="00F208FD">
        <w:rPr>
          <w:rFonts w:ascii="Cambria Math" w:hAnsi="Cambria Math" w:cs="Cambria Math"/>
          <w:b/>
          <w:bCs/>
          <w:sz w:val="32"/>
          <w:szCs w:val="32"/>
        </w:rPr>
        <w:t>‑</w:t>
      </w:r>
      <w:r w:rsidRPr="00F208FD">
        <w:rPr>
          <w:b/>
          <w:bCs/>
          <w:sz w:val="32"/>
          <w:szCs w:val="32"/>
        </w:rPr>
        <w:t xml:space="preserve">Use Plastic Products Reduction Policy  </w:t>
      </w:r>
    </w:p>
    <w:p w14:paraId="22E733A7" w14:textId="77777777" w:rsidR="00F208FD" w:rsidRDefault="00F208FD" w:rsidP="00EA34A9">
      <w:pPr>
        <w:spacing w:line="276" w:lineRule="auto"/>
        <w:jc w:val="both"/>
        <w:rPr>
          <w:sz w:val="22"/>
          <w:szCs w:val="22"/>
        </w:rPr>
      </w:pPr>
    </w:p>
    <w:p w14:paraId="290949C9" w14:textId="03F32BE2" w:rsidR="00F208FD" w:rsidRPr="00F208FD" w:rsidRDefault="00F208FD" w:rsidP="00EA34A9">
      <w:pPr>
        <w:spacing w:line="276" w:lineRule="auto"/>
        <w:jc w:val="both"/>
        <w:rPr>
          <w:sz w:val="22"/>
          <w:szCs w:val="22"/>
        </w:rPr>
      </w:pPr>
      <w:r w:rsidRPr="00F208FD">
        <w:rPr>
          <w:sz w:val="22"/>
          <w:szCs w:val="22"/>
        </w:rPr>
        <w:t xml:space="preserve">"04" March 2024  </w:t>
      </w:r>
    </w:p>
    <w:p w14:paraId="1117EEDE" w14:textId="77777777" w:rsidR="00F208FD" w:rsidRDefault="00F208FD" w:rsidP="00EA34A9">
      <w:pPr>
        <w:spacing w:line="276" w:lineRule="auto"/>
        <w:jc w:val="both"/>
      </w:pPr>
    </w:p>
    <w:p w14:paraId="5E337D2F" w14:textId="37E9EA98" w:rsidR="00F208FD" w:rsidRPr="00F208FD" w:rsidRDefault="00F208FD" w:rsidP="00EA34A9">
      <w:pPr>
        <w:spacing w:line="276" w:lineRule="auto"/>
        <w:jc w:val="both"/>
        <w:rPr>
          <w:b/>
          <w:bCs/>
        </w:rPr>
      </w:pPr>
      <w:r w:rsidRPr="00F208FD">
        <w:rPr>
          <w:b/>
          <w:bCs/>
        </w:rPr>
        <w:t>1. Purpose</w:t>
      </w:r>
    </w:p>
    <w:p w14:paraId="23ACC806" w14:textId="77777777" w:rsidR="00F208FD" w:rsidRDefault="00F208FD" w:rsidP="00EA34A9">
      <w:pPr>
        <w:spacing w:line="276" w:lineRule="auto"/>
        <w:jc w:val="both"/>
      </w:pPr>
      <w:r>
        <w:t>The purpose of this policy is to reduce and, in the long term, stop the use of single</w:t>
      </w:r>
      <w:r>
        <w:rPr>
          <w:rFonts w:ascii="Cambria Math" w:hAnsi="Cambria Math" w:cs="Cambria Math"/>
        </w:rPr>
        <w:t>‑</w:t>
      </w:r>
      <w:r>
        <w:t xml:space="preserve">use plastic products (SUP </w:t>
      </w:r>
      <w:r>
        <w:rPr>
          <w:rFonts w:ascii="Aptos" w:hAnsi="Aptos" w:cs="Aptos"/>
        </w:rPr>
        <w:t>–</w:t>
      </w:r>
      <w:r>
        <w:t xml:space="preserve"> Single Use Plastics) in the Reserve</w:t>
      </w:r>
      <w:r>
        <w:rPr>
          <w:rFonts w:ascii="Aptos" w:hAnsi="Aptos" w:cs="Aptos"/>
        </w:rPr>
        <w:t>’</w:t>
      </w:r>
      <w:r>
        <w:t>s activities in the direction of environmental protection and waste reduction.</w:t>
      </w:r>
    </w:p>
    <w:p w14:paraId="08D648D3" w14:textId="6FE101A7" w:rsidR="00F208FD" w:rsidRPr="00F208FD" w:rsidRDefault="00F208FD" w:rsidP="00EA34A9">
      <w:pPr>
        <w:spacing w:line="276" w:lineRule="auto"/>
        <w:jc w:val="both"/>
        <w:rPr>
          <w:b/>
          <w:bCs/>
        </w:rPr>
      </w:pPr>
      <w:r w:rsidRPr="00F208FD">
        <w:rPr>
          <w:b/>
          <w:bCs/>
        </w:rPr>
        <w:t>2. Scope</w:t>
      </w:r>
    </w:p>
    <w:p w14:paraId="6C2AF9B9" w14:textId="77777777" w:rsidR="00F208FD" w:rsidRDefault="00F208FD" w:rsidP="00EA34A9">
      <w:pPr>
        <w:spacing w:line="276" w:lineRule="auto"/>
        <w:jc w:val="both"/>
      </w:pPr>
      <w:r>
        <w:t>The policy applies to all employees, visitors, partners, and suppliers of the Reserve.</w:t>
      </w:r>
    </w:p>
    <w:p w14:paraId="291E1F3D" w14:textId="29912CF5" w:rsidR="00F208FD" w:rsidRPr="00F208FD" w:rsidRDefault="00F208FD" w:rsidP="00EA34A9">
      <w:pPr>
        <w:spacing w:line="276" w:lineRule="auto"/>
        <w:jc w:val="both"/>
        <w:rPr>
          <w:b/>
          <w:bCs/>
        </w:rPr>
      </w:pPr>
      <w:r w:rsidRPr="00F208FD">
        <w:rPr>
          <w:b/>
          <w:bCs/>
        </w:rPr>
        <w:t>3. Key Principles</w:t>
      </w:r>
    </w:p>
    <w:p w14:paraId="5AC91FDF" w14:textId="6401D4C9" w:rsidR="00F208FD" w:rsidRDefault="00F208FD" w:rsidP="00EA34A9">
      <w:pPr>
        <w:pStyle w:val="ListParagraph"/>
        <w:numPr>
          <w:ilvl w:val="0"/>
          <w:numId w:val="3"/>
        </w:numPr>
        <w:spacing w:line="276" w:lineRule="auto"/>
        <w:jc w:val="both"/>
      </w:pPr>
      <w:r>
        <w:t>The use of single</w:t>
      </w:r>
      <w:r w:rsidRPr="00EA34A9">
        <w:rPr>
          <w:rFonts w:ascii="Cambria Math" w:hAnsi="Cambria Math" w:cs="Cambria Math"/>
        </w:rPr>
        <w:t>‑</w:t>
      </w:r>
      <w:r>
        <w:t>use plastic products (water bottles, plastic fork</w:t>
      </w:r>
      <w:r w:rsidRPr="00EA34A9">
        <w:rPr>
          <w:rFonts w:ascii="Cambria Math" w:hAnsi="Cambria Math" w:cs="Cambria Math"/>
        </w:rPr>
        <w:t>‑</w:t>
      </w:r>
      <w:r>
        <w:t xml:space="preserve">knife, cup, bag, etc.) inside the Reserve is gradually stopped.  </w:t>
      </w:r>
    </w:p>
    <w:p w14:paraId="70D8926A" w14:textId="5AAA25B6" w:rsidR="00F208FD" w:rsidRDefault="00F208FD" w:rsidP="00EA34A9">
      <w:pPr>
        <w:pStyle w:val="ListParagraph"/>
        <w:numPr>
          <w:ilvl w:val="0"/>
          <w:numId w:val="3"/>
        </w:numPr>
        <w:spacing w:line="276" w:lineRule="auto"/>
        <w:jc w:val="both"/>
      </w:pPr>
      <w:r>
        <w:t xml:space="preserve">The use of substitute durable materials (glass, paper, metal, reusable containers) is encouraged.  </w:t>
      </w:r>
    </w:p>
    <w:p w14:paraId="3F75D5A2" w14:textId="775998D7" w:rsidR="00F208FD" w:rsidRDefault="00F208FD" w:rsidP="00EA34A9">
      <w:pPr>
        <w:pStyle w:val="ListParagraph"/>
        <w:numPr>
          <w:ilvl w:val="0"/>
          <w:numId w:val="3"/>
        </w:numPr>
        <w:spacing w:line="276" w:lineRule="auto"/>
        <w:jc w:val="both"/>
      </w:pPr>
      <w:r>
        <w:t xml:space="preserve">Educational information in this field is provided to employees and visitors.  </w:t>
      </w:r>
    </w:p>
    <w:p w14:paraId="26917BB3" w14:textId="3C038E24" w:rsidR="00F208FD" w:rsidRDefault="00F208FD" w:rsidP="00EA34A9">
      <w:pPr>
        <w:pStyle w:val="ListParagraph"/>
        <w:numPr>
          <w:ilvl w:val="0"/>
          <w:numId w:val="3"/>
        </w:numPr>
        <w:spacing w:line="276" w:lineRule="auto"/>
        <w:jc w:val="both"/>
      </w:pPr>
      <w:r>
        <w:t>Suppliers are required to choose environmentally sustainable products.</w:t>
      </w:r>
    </w:p>
    <w:p w14:paraId="310FE8E6" w14:textId="77777777" w:rsidR="00EA34A9" w:rsidRDefault="00EA34A9">
      <w:pPr>
        <w:rPr>
          <w:b/>
          <w:bCs/>
        </w:rPr>
      </w:pPr>
      <w:r>
        <w:rPr>
          <w:b/>
          <w:bCs/>
        </w:rPr>
        <w:br w:type="page"/>
      </w:r>
    </w:p>
    <w:p w14:paraId="3CAA19AF" w14:textId="0D632F07" w:rsidR="00F208FD" w:rsidRPr="00F208FD" w:rsidRDefault="00F208FD" w:rsidP="00EA34A9">
      <w:pPr>
        <w:spacing w:line="276" w:lineRule="auto"/>
        <w:jc w:val="both"/>
        <w:rPr>
          <w:b/>
          <w:bCs/>
        </w:rPr>
      </w:pPr>
      <w:r w:rsidRPr="00F208FD">
        <w:rPr>
          <w:b/>
          <w:bCs/>
        </w:rPr>
        <w:lastRenderedPageBreak/>
        <w:t>4. Implementation and Monitoring</w:t>
      </w:r>
    </w:p>
    <w:p w14:paraId="1FE4560C" w14:textId="33975C3F" w:rsidR="00F208FD" w:rsidRDefault="00F208FD" w:rsidP="00EA34A9">
      <w:pPr>
        <w:pStyle w:val="ListParagraph"/>
        <w:numPr>
          <w:ilvl w:val="0"/>
          <w:numId w:val="6"/>
        </w:numPr>
        <w:spacing w:line="276" w:lineRule="auto"/>
        <w:jc w:val="both"/>
      </w:pPr>
      <w:r>
        <w:t xml:space="preserve">The administrative staff of the Reserve supervises the implementation of the policy.  </w:t>
      </w:r>
    </w:p>
    <w:p w14:paraId="15C5CFF8" w14:textId="6493CDD0" w:rsidR="00F208FD" w:rsidRDefault="00F208FD" w:rsidP="00EA34A9">
      <w:pPr>
        <w:pStyle w:val="ListParagraph"/>
        <w:numPr>
          <w:ilvl w:val="0"/>
          <w:numId w:val="6"/>
        </w:numPr>
        <w:spacing w:line="276" w:lineRule="auto"/>
        <w:jc w:val="both"/>
      </w:pPr>
      <w:r>
        <w:t xml:space="preserve">The amount of waste and the level of refusal from the use of plastic are regularly monitored and recorded in annual reports.  </w:t>
      </w:r>
    </w:p>
    <w:p w14:paraId="60C82D1E" w14:textId="6331449B" w:rsidR="00F208FD" w:rsidRDefault="00F208FD" w:rsidP="00EA34A9">
      <w:pPr>
        <w:pStyle w:val="ListParagraph"/>
        <w:numPr>
          <w:ilvl w:val="0"/>
          <w:numId w:val="6"/>
        </w:numPr>
        <w:spacing w:line="276" w:lineRule="auto"/>
        <w:jc w:val="both"/>
      </w:pPr>
      <w:r>
        <w:t>Through training and seminars, the informing of employees and visitors is continuously carried out.</w:t>
      </w:r>
    </w:p>
    <w:p w14:paraId="0AFADB3A" w14:textId="138615A5" w:rsidR="00F208FD" w:rsidRPr="00F208FD" w:rsidRDefault="00F208FD" w:rsidP="00EA34A9">
      <w:pPr>
        <w:spacing w:line="276" w:lineRule="auto"/>
        <w:jc w:val="both"/>
        <w:rPr>
          <w:b/>
          <w:bCs/>
        </w:rPr>
      </w:pPr>
      <w:r w:rsidRPr="00F208FD">
        <w:rPr>
          <w:b/>
          <w:bCs/>
        </w:rPr>
        <w:t>5. Exceptions</w:t>
      </w:r>
    </w:p>
    <w:p w14:paraId="552DA17F" w14:textId="77777777" w:rsidR="00F208FD" w:rsidRDefault="00F208FD" w:rsidP="00EA34A9">
      <w:pPr>
        <w:spacing w:line="276" w:lineRule="auto"/>
        <w:jc w:val="both"/>
      </w:pPr>
      <w:r>
        <w:t>Some single</w:t>
      </w:r>
      <w:r>
        <w:rPr>
          <w:rFonts w:ascii="Cambria Math" w:hAnsi="Cambria Math" w:cs="Cambria Math"/>
        </w:rPr>
        <w:t>‑</w:t>
      </w:r>
      <w:r>
        <w:t xml:space="preserve">use plastics used for </w:t>
      </w:r>
      <w:proofErr w:type="gramStart"/>
      <w:r>
        <w:t>medical</w:t>
      </w:r>
      <w:proofErr w:type="gramEnd"/>
      <w:r>
        <w:t xml:space="preserve"> or emergency cases may be exempt from this policy.</w:t>
      </w:r>
    </w:p>
    <w:p w14:paraId="297403B8" w14:textId="053A5310" w:rsidR="00F208FD" w:rsidRPr="00F208FD" w:rsidRDefault="00F208FD" w:rsidP="00EA34A9">
      <w:pPr>
        <w:spacing w:line="276" w:lineRule="auto"/>
        <w:jc w:val="both"/>
        <w:rPr>
          <w:b/>
          <w:bCs/>
        </w:rPr>
      </w:pPr>
      <w:r w:rsidRPr="00F208FD">
        <w:rPr>
          <w:b/>
          <w:bCs/>
        </w:rPr>
        <w:t>6. Effective Date</w:t>
      </w:r>
    </w:p>
    <w:p w14:paraId="67A76831" w14:textId="77777777" w:rsidR="00F208FD" w:rsidRDefault="00F208FD" w:rsidP="00EA34A9">
      <w:pPr>
        <w:spacing w:line="276" w:lineRule="auto"/>
        <w:jc w:val="both"/>
      </w:pPr>
      <w:r>
        <w:t>This policy enters into force from 04.03.2024.</w:t>
      </w:r>
    </w:p>
    <w:p w14:paraId="5AEF5C52" w14:textId="5E3256D7" w:rsidR="00F208FD" w:rsidRPr="00F208FD" w:rsidRDefault="00F208FD" w:rsidP="00EA34A9">
      <w:pPr>
        <w:spacing w:line="276" w:lineRule="auto"/>
        <w:jc w:val="both"/>
        <w:rPr>
          <w:b/>
          <w:bCs/>
        </w:rPr>
      </w:pPr>
      <w:r w:rsidRPr="00F208FD">
        <w:rPr>
          <w:b/>
          <w:bCs/>
        </w:rPr>
        <w:t>7. Legal References</w:t>
      </w:r>
    </w:p>
    <w:p w14:paraId="6EF7E94C" w14:textId="35F244BB" w:rsidR="00F208FD" w:rsidRPr="00F208FD" w:rsidRDefault="00F208FD" w:rsidP="00EA34A9">
      <w:pPr>
        <w:spacing w:line="276" w:lineRule="auto"/>
        <w:jc w:val="both"/>
        <w:rPr>
          <w:i/>
          <w:iCs/>
        </w:rPr>
      </w:pPr>
      <w:r w:rsidRPr="00F208FD">
        <w:rPr>
          <w:i/>
          <w:iCs/>
        </w:rPr>
        <w:t>Law of the Republic of Azerbaijan “On Environmental Protection”</w:t>
      </w:r>
    </w:p>
    <w:p w14:paraId="37BDF2C9" w14:textId="6C87B80E" w:rsidR="00F208FD" w:rsidRDefault="00F208FD" w:rsidP="00EA34A9">
      <w:pPr>
        <w:spacing w:line="276" w:lineRule="auto"/>
        <w:jc w:val="both"/>
      </w:pPr>
      <w:r>
        <w:t>According to the preamble of this Law, the Law defines the legal, economic, and social bases of environmental protection. The purpose of the Law is to ensure ecological safety in the field of protection of ecological balance of the environment, to prevent harmful effects of economic and other activities on natural ecological systems, to preserve biological diversity, and to ensure the efficient organization of the use of natural resources.</w:t>
      </w:r>
    </w:p>
    <w:p w14:paraId="64E04C33" w14:textId="5B22A45E" w:rsidR="00F208FD" w:rsidRPr="00F208FD" w:rsidRDefault="00F208FD" w:rsidP="00EA34A9">
      <w:pPr>
        <w:spacing w:line="276" w:lineRule="auto"/>
        <w:jc w:val="both"/>
        <w:rPr>
          <w:i/>
          <w:iCs/>
        </w:rPr>
      </w:pPr>
      <w:r w:rsidRPr="00F208FD">
        <w:rPr>
          <w:i/>
          <w:iCs/>
        </w:rPr>
        <w:t>Order of the President of the Republic of Azerbaijan on the Approval of the “Socio</w:t>
      </w:r>
      <w:r w:rsidRPr="00F208FD">
        <w:rPr>
          <w:rFonts w:ascii="Cambria Math" w:hAnsi="Cambria Math" w:cs="Cambria Math"/>
          <w:i/>
          <w:iCs/>
        </w:rPr>
        <w:t>‑</w:t>
      </w:r>
      <w:r w:rsidRPr="00F208FD">
        <w:rPr>
          <w:i/>
          <w:iCs/>
        </w:rPr>
        <w:t>Economic Development Strategy of the Republic of Azerbaijan for 2022</w:t>
      </w:r>
      <w:r w:rsidRPr="00F208FD">
        <w:rPr>
          <w:rFonts w:ascii="Aptos" w:hAnsi="Aptos" w:cs="Aptos"/>
          <w:i/>
          <w:iCs/>
        </w:rPr>
        <w:t>–</w:t>
      </w:r>
      <w:r w:rsidRPr="00F208FD">
        <w:rPr>
          <w:i/>
          <w:iCs/>
        </w:rPr>
        <w:t>2026</w:t>
      </w:r>
      <w:r w:rsidRPr="00F208FD">
        <w:rPr>
          <w:rFonts w:ascii="Aptos" w:hAnsi="Aptos" w:cs="Aptos"/>
          <w:i/>
          <w:iCs/>
        </w:rPr>
        <w:t>”</w:t>
      </w:r>
    </w:p>
    <w:p w14:paraId="0BD835F2" w14:textId="77777777" w:rsidR="00F208FD" w:rsidRDefault="00F208FD" w:rsidP="00EA34A9">
      <w:pPr>
        <w:spacing w:line="276" w:lineRule="auto"/>
        <w:jc w:val="both"/>
      </w:pPr>
      <w:r>
        <w:t>According to the first part of the Order on Achievements and Challenges under National Priorities for Socio</w:t>
      </w:r>
      <w:r>
        <w:rPr>
          <w:rFonts w:ascii="Cambria Math" w:hAnsi="Cambria Math" w:cs="Cambria Math"/>
        </w:rPr>
        <w:t>‑</w:t>
      </w:r>
      <w:r>
        <w:t xml:space="preserve">Economic Development, and according to the fourth paragraph under section 1.2 titled </w:t>
      </w:r>
      <w:r>
        <w:rPr>
          <w:rFonts w:ascii="Aptos" w:hAnsi="Aptos" w:cs="Aptos"/>
        </w:rPr>
        <w:t>“</w:t>
      </w:r>
      <w:r>
        <w:t>Global trends, challenges, and opportunities in the coming decade,</w:t>
      </w:r>
      <w:r>
        <w:rPr>
          <w:rFonts w:ascii="Aptos" w:hAnsi="Aptos" w:cs="Aptos"/>
        </w:rPr>
        <w:t>”</w:t>
      </w:r>
      <w:r>
        <w:t xml:space="preserve"> the trends of </w:t>
      </w:r>
      <w:r>
        <w:rPr>
          <w:rFonts w:ascii="Aptos" w:hAnsi="Aptos" w:cs="Aptos"/>
        </w:rPr>
        <w:t>“</w:t>
      </w:r>
      <w:r>
        <w:t>greening and decarbonization</w:t>
      </w:r>
      <w:r>
        <w:rPr>
          <w:rFonts w:ascii="Aptos" w:hAnsi="Aptos" w:cs="Aptos"/>
        </w:rPr>
        <w:t>”</w:t>
      </w:r>
      <w:r>
        <w:t xml:space="preserve"> in the global economy create opportunities for the development of non</w:t>
      </w:r>
      <w:r>
        <w:rPr>
          <w:rFonts w:ascii="Cambria Math" w:hAnsi="Cambria Math" w:cs="Cambria Math"/>
        </w:rPr>
        <w:t>‑</w:t>
      </w:r>
      <w:r>
        <w:t xml:space="preserve">resource economies. Combating climate change, efficient use of natural resources, and protection of biodiversity are among the main principles of a sustainable economy. The realization of the challenges under the Sustainable Development Goals, the Paris Agreement on Climate Change, and the country’s development priorities </w:t>
      </w:r>
      <w:proofErr w:type="gramStart"/>
      <w:r>
        <w:t>requires</w:t>
      </w:r>
      <w:proofErr w:type="gramEnd"/>
      <w:r>
        <w:t xml:space="preserve"> increasing the use of renewable energy sources and the use of environmentally clean, energy</w:t>
      </w:r>
      <w:r>
        <w:rPr>
          <w:rFonts w:ascii="Cambria Math" w:hAnsi="Cambria Math" w:cs="Cambria Math"/>
        </w:rPr>
        <w:t>‑</w:t>
      </w:r>
      <w:r>
        <w:t>efficient technologies.</w:t>
      </w:r>
    </w:p>
    <w:p w14:paraId="3552DE72" w14:textId="52460E4A" w:rsidR="00F208FD" w:rsidRPr="00F208FD" w:rsidRDefault="00F208FD" w:rsidP="00EA34A9">
      <w:pPr>
        <w:spacing w:line="276" w:lineRule="auto"/>
        <w:jc w:val="both"/>
        <w:rPr>
          <w:i/>
          <w:iCs/>
        </w:rPr>
      </w:pPr>
      <w:r w:rsidRPr="00F208FD">
        <w:rPr>
          <w:i/>
          <w:iCs/>
        </w:rPr>
        <w:lastRenderedPageBreak/>
        <w:t>Law of the Republic of Azerbaijan “On Waste”</w:t>
      </w:r>
    </w:p>
    <w:p w14:paraId="472C7A0E" w14:textId="77777777" w:rsidR="00F208FD" w:rsidRDefault="00F208FD" w:rsidP="00EA34A9">
      <w:pPr>
        <w:spacing w:line="276" w:lineRule="auto"/>
        <w:jc w:val="both"/>
      </w:pPr>
      <w:r>
        <w:t>According to the preamble of this Law, this Law defines the state policy and legal relations of the Republic of Azerbaijan in the field of waste management for the purpose of preventing harmful effects of waste on human health and the environment, reducing their hazardous impact, ensuring ecological balance in nature, and involving such waste in economic circulation as sources of secondary raw materials.</w:t>
      </w:r>
    </w:p>
    <w:p w14:paraId="10534ABC" w14:textId="77777777" w:rsidR="00F208FD" w:rsidRDefault="00F208FD" w:rsidP="00EA34A9">
      <w:pPr>
        <w:spacing w:line="276" w:lineRule="auto"/>
        <w:jc w:val="both"/>
      </w:pPr>
    </w:p>
    <w:p w14:paraId="7B58AE52" w14:textId="6666CFC8" w:rsidR="00987D14" w:rsidRDefault="00F208FD" w:rsidP="00EA34A9">
      <w:pPr>
        <w:spacing w:line="276" w:lineRule="auto"/>
        <w:jc w:val="both"/>
      </w:pPr>
      <w:r>
        <w:t xml:space="preserve">Chairman of the Board  </w:t>
      </w:r>
    </w:p>
    <w:sectPr w:rsidR="00987D1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5999" w14:textId="77777777" w:rsidR="0081382A" w:rsidRDefault="0081382A" w:rsidP="00F208FD">
      <w:pPr>
        <w:spacing w:after="0" w:line="240" w:lineRule="auto"/>
      </w:pPr>
      <w:r>
        <w:separator/>
      </w:r>
    </w:p>
  </w:endnote>
  <w:endnote w:type="continuationSeparator" w:id="0">
    <w:p w14:paraId="0A958A40" w14:textId="77777777" w:rsidR="0081382A" w:rsidRDefault="0081382A" w:rsidP="00F2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18697"/>
      <w:docPartObj>
        <w:docPartGallery w:val="Page Numbers (Bottom of Page)"/>
        <w:docPartUnique/>
      </w:docPartObj>
    </w:sdtPr>
    <w:sdtEndPr>
      <w:rPr>
        <w:noProof/>
      </w:rPr>
    </w:sdtEndPr>
    <w:sdtContent>
      <w:p w14:paraId="4633E312" w14:textId="065F4EA0" w:rsidR="00F208FD" w:rsidRDefault="00F208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43CE2" w14:textId="77777777" w:rsidR="00F208FD" w:rsidRDefault="00F20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BDE5" w14:textId="77777777" w:rsidR="0081382A" w:rsidRDefault="0081382A" w:rsidP="00F208FD">
      <w:pPr>
        <w:spacing w:after="0" w:line="240" w:lineRule="auto"/>
      </w:pPr>
      <w:r>
        <w:separator/>
      </w:r>
    </w:p>
  </w:footnote>
  <w:footnote w:type="continuationSeparator" w:id="0">
    <w:p w14:paraId="5D090DCE" w14:textId="77777777" w:rsidR="0081382A" w:rsidRDefault="0081382A" w:rsidP="00F20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1CB6" w14:textId="12811BD5" w:rsidR="00F208FD" w:rsidRDefault="00CA1B30" w:rsidP="00CA1B30">
    <w:pPr>
      <w:pStyle w:val="Header"/>
      <w:jc w:val="right"/>
    </w:pPr>
    <w:r w:rsidRPr="00380CA2">
      <w:rPr>
        <w:b/>
        <w:bCs/>
        <w:noProof/>
        <w:lang w:val="en-AU"/>
      </w:rPr>
      <w:drawing>
        <wp:inline distT="0" distB="0" distL="0" distR="0" wp14:anchorId="7E1582FB" wp14:editId="1A4ED7C3">
          <wp:extent cx="2044700" cy="1030279"/>
          <wp:effectExtent l="0" t="0" r="0" b="0"/>
          <wp:docPr id="61460112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01120" name="Picture 1" descr="A close-up of a sign&#10;&#10;AI-generated content may be incorrect."/>
                  <pic:cNvPicPr/>
                </pic:nvPicPr>
                <pic:blipFill>
                  <a:blip r:embed="rId1"/>
                  <a:stretch>
                    <a:fillRect/>
                  </a:stretch>
                </pic:blipFill>
                <pic:spPr>
                  <a:xfrm>
                    <a:off x="0" y="0"/>
                    <a:ext cx="2051257" cy="1033583"/>
                  </a:xfrm>
                  <a:prstGeom prst="rect">
                    <a:avLst/>
                  </a:prstGeom>
                </pic:spPr>
              </pic:pic>
            </a:graphicData>
          </a:graphic>
        </wp:inline>
      </w:drawing>
    </w:r>
  </w:p>
  <w:p w14:paraId="242A7F52" w14:textId="77777777" w:rsidR="00EA34A9" w:rsidRDefault="00EA34A9" w:rsidP="00CA1B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388E"/>
    <w:multiLevelType w:val="hybridMultilevel"/>
    <w:tmpl w:val="B69AD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3B2654"/>
    <w:multiLevelType w:val="hybridMultilevel"/>
    <w:tmpl w:val="E6C22CF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FF325C"/>
    <w:multiLevelType w:val="hybridMultilevel"/>
    <w:tmpl w:val="2E221CB2"/>
    <w:lvl w:ilvl="0" w:tplc="27AEB3B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375A71"/>
    <w:multiLevelType w:val="hybridMultilevel"/>
    <w:tmpl w:val="D3EA379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F84142E"/>
    <w:multiLevelType w:val="hybridMultilevel"/>
    <w:tmpl w:val="C422ED26"/>
    <w:lvl w:ilvl="0" w:tplc="1E60C5E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FD7AE3"/>
    <w:multiLevelType w:val="hybridMultilevel"/>
    <w:tmpl w:val="75804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6419735">
    <w:abstractNumId w:val="5"/>
  </w:num>
  <w:num w:numId="2" w16cid:durableId="801339657">
    <w:abstractNumId w:val="2"/>
  </w:num>
  <w:num w:numId="3" w16cid:durableId="1583635931">
    <w:abstractNumId w:val="3"/>
  </w:num>
  <w:num w:numId="4" w16cid:durableId="1152989481">
    <w:abstractNumId w:val="0"/>
  </w:num>
  <w:num w:numId="5" w16cid:durableId="1220748467">
    <w:abstractNumId w:val="4"/>
  </w:num>
  <w:num w:numId="6" w16cid:durableId="788358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D5"/>
    <w:rsid w:val="00012D0C"/>
    <w:rsid w:val="00075A6E"/>
    <w:rsid w:val="00116A8B"/>
    <w:rsid w:val="002456D5"/>
    <w:rsid w:val="00546B1A"/>
    <w:rsid w:val="005D7F2F"/>
    <w:rsid w:val="006B3CB9"/>
    <w:rsid w:val="0081382A"/>
    <w:rsid w:val="0084414A"/>
    <w:rsid w:val="008E1313"/>
    <w:rsid w:val="00987D14"/>
    <w:rsid w:val="00B632E5"/>
    <w:rsid w:val="00BB27CF"/>
    <w:rsid w:val="00CA1B30"/>
    <w:rsid w:val="00E40D8C"/>
    <w:rsid w:val="00EA34A9"/>
    <w:rsid w:val="00EB0774"/>
    <w:rsid w:val="00F2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55C75"/>
  <w15:chartTrackingRefBased/>
  <w15:docId w15:val="{6706D8F1-D0E2-411D-BA79-DBF7EDD2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6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6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6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6D5"/>
    <w:rPr>
      <w:rFonts w:eastAsiaTheme="majorEastAsia" w:cstheme="majorBidi"/>
      <w:color w:val="272727" w:themeColor="text1" w:themeTint="D8"/>
    </w:rPr>
  </w:style>
  <w:style w:type="paragraph" w:styleId="Title">
    <w:name w:val="Title"/>
    <w:basedOn w:val="Normal"/>
    <w:next w:val="Normal"/>
    <w:link w:val="TitleChar"/>
    <w:uiPriority w:val="10"/>
    <w:qFormat/>
    <w:rsid w:val="00245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6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6D5"/>
    <w:pPr>
      <w:spacing w:before="160"/>
      <w:jc w:val="center"/>
    </w:pPr>
    <w:rPr>
      <w:i/>
      <w:iCs/>
      <w:color w:val="404040" w:themeColor="text1" w:themeTint="BF"/>
    </w:rPr>
  </w:style>
  <w:style w:type="character" w:customStyle="1" w:styleId="QuoteChar">
    <w:name w:val="Quote Char"/>
    <w:basedOn w:val="DefaultParagraphFont"/>
    <w:link w:val="Quote"/>
    <w:uiPriority w:val="29"/>
    <w:rsid w:val="002456D5"/>
    <w:rPr>
      <w:i/>
      <w:iCs/>
      <w:color w:val="404040" w:themeColor="text1" w:themeTint="BF"/>
    </w:rPr>
  </w:style>
  <w:style w:type="paragraph" w:styleId="ListParagraph">
    <w:name w:val="List Paragraph"/>
    <w:basedOn w:val="Normal"/>
    <w:uiPriority w:val="34"/>
    <w:qFormat/>
    <w:rsid w:val="002456D5"/>
    <w:pPr>
      <w:ind w:left="720"/>
      <w:contextualSpacing/>
    </w:pPr>
  </w:style>
  <w:style w:type="character" w:styleId="IntenseEmphasis">
    <w:name w:val="Intense Emphasis"/>
    <w:basedOn w:val="DefaultParagraphFont"/>
    <w:uiPriority w:val="21"/>
    <w:qFormat/>
    <w:rsid w:val="002456D5"/>
    <w:rPr>
      <w:i/>
      <w:iCs/>
      <w:color w:val="0F4761" w:themeColor="accent1" w:themeShade="BF"/>
    </w:rPr>
  </w:style>
  <w:style w:type="paragraph" w:styleId="IntenseQuote">
    <w:name w:val="Intense Quote"/>
    <w:basedOn w:val="Normal"/>
    <w:next w:val="Normal"/>
    <w:link w:val="IntenseQuoteChar"/>
    <w:uiPriority w:val="30"/>
    <w:qFormat/>
    <w:rsid w:val="00245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6D5"/>
    <w:rPr>
      <w:i/>
      <w:iCs/>
      <w:color w:val="0F4761" w:themeColor="accent1" w:themeShade="BF"/>
    </w:rPr>
  </w:style>
  <w:style w:type="character" w:styleId="IntenseReference">
    <w:name w:val="Intense Reference"/>
    <w:basedOn w:val="DefaultParagraphFont"/>
    <w:uiPriority w:val="32"/>
    <w:qFormat/>
    <w:rsid w:val="002456D5"/>
    <w:rPr>
      <w:b/>
      <w:bCs/>
      <w:smallCaps/>
      <w:color w:val="0F4761" w:themeColor="accent1" w:themeShade="BF"/>
      <w:spacing w:val="5"/>
    </w:rPr>
  </w:style>
  <w:style w:type="paragraph" w:styleId="Header">
    <w:name w:val="header"/>
    <w:basedOn w:val="Normal"/>
    <w:link w:val="HeaderChar"/>
    <w:uiPriority w:val="99"/>
    <w:unhideWhenUsed/>
    <w:rsid w:val="00F20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8FD"/>
  </w:style>
  <w:style w:type="paragraph" w:styleId="Footer">
    <w:name w:val="footer"/>
    <w:basedOn w:val="Normal"/>
    <w:link w:val="FooterChar"/>
    <w:uiPriority w:val="99"/>
    <w:unhideWhenUsed/>
    <w:rsid w:val="00F20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Nasirova</dc:creator>
  <cp:keywords/>
  <dc:description/>
  <cp:lastModifiedBy>Don Taylor</cp:lastModifiedBy>
  <cp:revision>2</cp:revision>
  <dcterms:created xsi:type="dcterms:W3CDTF">2026-06-01T05:11:00Z</dcterms:created>
  <dcterms:modified xsi:type="dcterms:W3CDTF">2026-06-01T05:11:00Z</dcterms:modified>
</cp:coreProperties>
</file>